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0EAF" w14:textId="28FD488B" w:rsidR="0054246F"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Fecha</w:t>
      </w:r>
    </w:p>
    <w:p w14:paraId="57BA70E7" w14:textId="77777777" w:rsidR="0054246F"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 xml:space="preserve">Estimado padre o tutor: </w:t>
      </w:r>
    </w:p>
    <w:p w14:paraId="20E703D4" w14:textId="77777777" w:rsidR="0054246F"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 xml:space="preserve">Es posible que su niño haya sido expuesto recientemente a la </w:t>
      </w:r>
      <w:r w:rsidRPr="0054246F">
        <w:rPr>
          <w:rFonts w:ascii="Arial" w:hAnsi="Arial" w:cs="Arial"/>
          <w:b/>
          <w:sz w:val="20"/>
          <w:szCs w:val="20"/>
          <w:lang w:val="es-US"/>
        </w:rPr>
        <w:t>quinta enfermedad</w:t>
      </w:r>
      <w:r w:rsidRPr="0054246F">
        <w:rPr>
          <w:rFonts w:ascii="Arial" w:hAnsi="Arial" w:cs="Arial"/>
          <w:sz w:val="20"/>
          <w:szCs w:val="20"/>
          <w:lang w:val="es-US"/>
        </w:rPr>
        <w:t xml:space="preserve">. La quinta enfermedad es un sarpullido común de la niñez causada por un virus. También se conoce como “enfermedad de mejillas abofeteadas” porque seguido inicia como un sarpullido dramático en las mejillas. </w:t>
      </w:r>
    </w:p>
    <w:p w14:paraId="33B28651" w14:textId="3E4CF769" w:rsidR="0054246F" w:rsidRPr="0054246F" w:rsidRDefault="0054246F" w:rsidP="0054246F">
      <w:pPr>
        <w:pStyle w:val="BodyCopy"/>
        <w:spacing w:before="360" w:after="120"/>
        <w:rPr>
          <w:rFonts w:ascii="Arial" w:hAnsi="Arial" w:cs="Arial"/>
          <w:b/>
          <w:sz w:val="22"/>
          <w:szCs w:val="22"/>
          <w:lang w:val="es-US"/>
        </w:rPr>
      </w:pPr>
      <w:r w:rsidRPr="0054246F">
        <w:rPr>
          <w:rFonts w:ascii="Arial" w:hAnsi="Arial" w:cs="Arial"/>
          <w:b/>
          <w:sz w:val="22"/>
          <w:szCs w:val="22"/>
          <w:lang w:val="es-US"/>
        </w:rPr>
        <w:t>¿Cuáles son los síntomas de la quinta enfermedad?</w:t>
      </w:r>
    </w:p>
    <w:p w14:paraId="62D7A6B1" w14:textId="36455EB2" w:rsidR="0054246F"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Los síntomas pueden iniciar con la fiebre, el dolor de los músculos, y el dolor de cabeza, como un resfriado. De una a tres semanas después, aparece un sarpullido rojo vivo en las mejillas. Luego aparece un sarpullido que tiene parecido al encaje en el tronco, los brazos, las nalgas y las piernas. El sarpullido puede desaparecer y volver a aparecer al ser expuesto al calor por semanas. Una vez que la erupción aparece, el niño ya no se siente enfermo. Las personas pueden estar infectadas y ser infecciosas sin jamás tener síntomas.</w:t>
      </w:r>
    </w:p>
    <w:p w14:paraId="7F8FFDEE" w14:textId="77777777" w:rsidR="0054246F" w:rsidRPr="0054246F" w:rsidRDefault="0054246F" w:rsidP="0054246F">
      <w:pPr>
        <w:pStyle w:val="BodyCopy"/>
        <w:spacing w:before="360" w:after="120"/>
        <w:rPr>
          <w:rFonts w:ascii="Arial" w:hAnsi="Arial" w:cs="Arial"/>
          <w:b/>
          <w:sz w:val="22"/>
          <w:szCs w:val="22"/>
          <w:lang w:val="es-US"/>
        </w:rPr>
      </w:pPr>
      <w:r w:rsidRPr="0054246F">
        <w:rPr>
          <w:rFonts w:ascii="Arial" w:hAnsi="Arial" w:cs="Arial"/>
          <w:b/>
          <w:sz w:val="22"/>
          <w:szCs w:val="22"/>
          <w:lang w:val="es-US"/>
        </w:rPr>
        <w:t>¿Cómo se propaga la quinta enfermedad?</w:t>
      </w:r>
    </w:p>
    <w:p w14:paraId="520D978F" w14:textId="1E4EB246" w:rsidR="0054246F"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La quinta enfermedad se pasa de persona a persona durante la parte temprana de la enfermedad, cuando parece que solo tener un resfriado. Se propago la enfermedad por contacto directo con el moco o la saliva. Tocar superficies y objetos contaminados (como los pañuelos de papel usados, los juguetes, los vasos de beber y los utensilios) también pueden propagarse la quinta enfermedad. Una vez que aparece la erupción o sarpullido, la persona ya no es contagiosa.</w:t>
      </w:r>
    </w:p>
    <w:p w14:paraId="2CA86189" w14:textId="52CA8494" w:rsidR="0054246F" w:rsidRPr="0054246F" w:rsidRDefault="0054246F" w:rsidP="0054246F">
      <w:pPr>
        <w:pStyle w:val="BodyCopy"/>
        <w:spacing w:before="360" w:after="120"/>
        <w:rPr>
          <w:rFonts w:ascii="Arial" w:hAnsi="Arial" w:cs="Arial"/>
          <w:b/>
          <w:sz w:val="22"/>
          <w:szCs w:val="22"/>
          <w:lang w:val="es-US"/>
        </w:rPr>
      </w:pPr>
      <w:r w:rsidRPr="0054246F">
        <w:rPr>
          <w:rFonts w:ascii="Arial" w:hAnsi="Arial" w:cs="Arial"/>
          <w:b/>
          <w:sz w:val="22"/>
          <w:szCs w:val="22"/>
          <w:lang w:val="es-US"/>
        </w:rPr>
        <w:t>¿Cómo se diagnostica y se le da tratamiento a la quinta enfermedad?</w:t>
      </w:r>
    </w:p>
    <w:p w14:paraId="52B2A281" w14:textId="4C19F894" w:rsidR="0054246F"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Un médico usualmente puede diagnosticar la quinta enfermedad basado en los síntomas. La quinta enfermedad es usualmente una enfermedad leve que no requiere atención médica. Algunas medidas de comodidad pueden ayudar con los síntomas tempranas. Las mujeres embarazadas o las personas con ciertos problemas de la sangre o deficiencias del sistema inmune pueden requerir atención médica.</w:t>
      </w:r>
    </w:p>
    <w:p w14:paraId="6BDDC3AC" w14:textId="5363B8CD" w:rsidR="0054246F" w:rsidRPr="0054246F" w:rsidRDefault="0054246F" w:rsidP="0054246F">
      <w:pPr>
        <w:pStyle w:val="BodyCopy"/>
        <w:spacing w:before="360" w:after="120"/>
        <w:rPr>
          <w:rFonts w:ascii="Arial" w:hAnsi="Arial" w:cs="Arial"/>
          <w:b/>
          <w:sz w:val="22"/>
          <w:szCs w:val="22"/>
          <w:lang w:val="es-US"/>
        </w:rPr>
      </w:pPr>
      <w:r w:rsidRPr="0054246F">
        <w:rPr>
          <w:rFonts w:ascii="Arial" w:hAnsi="Arial" w:cs="Arial"/>
          <w:b/>
          <w:sz w:val="22"/>
          <w:szCs w:val="22"/>
          <w:lang w:val="es-US"/>
        </w:rPr>
        <w:t>¿Cómo se controla la propagación?</w:t>
      </w:r>
    </w:p>
    <w:p w14:paraId="35A87F31" w14:textId="0415CCF0" w:rsidR="0054246F" w:rsidRPr="0054246F" w:rsidRDefault="0054246F" w:rsidP="0054246F">
      <w:pPr>
        <w:pStyle w:val="BodyCopy"/>
        <w:numPr>
          <w:ilvl w:val="0"/>
          <w:numId w:val="7"/>
        </w:numPr>
        <w:spacing w:after="240"/>
        <w:contextualSpacing/>
        <w:rPr>
          <w:rFonts w:ascii="Arial" w:hAnsi="Arial" w:cs="Arial"/>
          <w:sz w:val="20"/>
          <w:szCs w:val="20"/>
          <w:lang w:val="es-US"/>
        </w:rPr>
      </w:pPr>
      <w:r w:rsidRPr="0054246F">
        <w:rPr>
          <w:rFonts w:ascii="Arial" w:hAnsi="Arial" w:cs="Arial"/>
          <w:sz w:val="20"/>
          <w:szCs w:val="20"/>
          <w:lang w:val="es-US"/>
        </w:rPr>
        <w:t>Lávese las manos frecuentemente y a fondo, especialmente después de tocar las secreciones de la nariz o la garganta.</w:t>
      </w:r>
    </w:p>
    <w:p w14:paraId="1C244F3F" w14:textId="3F10D706" w:rsidR="0054246F" w:rsidRPr="0054246F" w:rsidRDefault="0054246F" w:rsidP="0054246F">
      <w:pPr>
        <w:pStyle w:val="BodyCopy"/>
        <w:numPr>
          <w:ilvl w:val="0"/>
          <w:numId w:val="7"/>
        </w:numPr>
        <w:spacing w:after="240"/>
        <w:contextualSpacing/>
        <w:rPr>
          <w:rFonts w:ascii="Arial" w:hAnsi="Arial" w:cs="Arial"/>
          <w:sz w:val="20"/>
          <w:szCs w:val="20"/>
          <w:lang w:val="es-US"/>
        </w:rPr>
      </w:pPr>
      <w:r w:rsidRPr="0054246F">
        <w:rPr>
          <w:rFonts w:ascii="Arial" w:hAnsi="Arial" w:cs="Arial"/>
          <w:sz w:val="20"/>
          <w:szCs w:val="20"/>
          <w:lang w:val="es-US"/>
        </w:rPr>
        <w:t>Evite compartir artículos personales que puedan estar contaminados con saliva, tal como los vasos de beber y los utensilios para comer.</w:t>
      </w:r>
    </w:p>
    <w:p w14:paraId="3800F290" w14:textId="52C0873B" w:rsidR="0054246F" w:rsidRPr="0054246F" w:rsidRDefault="0054246F" w:rsidP="0054246F">
      <w:pPr>
        <w:pStyle w:val="BodyCopy"/>
        <w:numPr>
          <w:ilvl w:val="0"/>
          <w:numId w:val="7"/>
        </w:numPr>
        <w:spacing w:after="240"/>
        <w:contextualSpacing/>
        <w:rPr>
          <w:rFonts w:ascii="Arial" w:hAnsi="Arial" w:cs="Arial"/>
          <w:sz w:val="20"/>
          <w:szCs w:val="20"/>
          <w:lang w:val="es-US"/>
        </w:rPr>
      </w:pPr>
      <w:r w:rsidRPr="0054246F">
        <w:rPr>
          <w:rFonts w:ascii="Arial" w:hAnsi="Arial" w:cs="Arial"/>
          <w:sz w:val="20"/>
          <w:szCs w:val="20"/>
          <w:lang w:val="es-US"/>
        </w:rPr>
        <w:t>Use una solución desinfectante en los juguetes compartidos y otros artículos que posiblemente estén contaminados.</w:t>
      </w:r>
    </w:p>
    <w:p w14:paraId="17664D84" w14:textId="3EE0D7B8" w:rsidR="0054246F" w:rsidRPr="0054246F" w:rsidRDefault="0054246F" w:rsidP="0054246F">
      <w:pPr>
        <w:pStyle w:val="BodyCopy"/>
        <w:numPr>
          <w:ilvl w:val="0"/>
          <w:numId w:val="7"/>
        </w:numPr>
        <w:spacing w:after="240"/>
        <w:contextualSpacing/>
        <w:rPr>
          <w:rFonts w:ascii="Arial" w:hAnsi="Arial" w:cs="Arial"/>
          <w:sz w:val="20"/>
          <w:szCs w:val="20"/>
          <w:lang w:val="es-US"/>
        </w:rPr>
      </w:pPr>
      <w:r w:rsidRPr="0054246F">
        <w:rPr>
          <w:rFonts w:ascii="Arial" w:hAnsi="Arial" w:cs="Arial"/>
          <w:sz w:val="20"/>
          <w:szCs w:val="20"/>
          <w:lang w:val="es-US"/>
        </w:rPr>
        <w:t>Cúbrase la boca con un pañuelo de papel o con el brazo cuando tosa o estornude.</w:t>
      </w:r>
    </w:p>
    <w:p w14:paraId="4AB87434" w14:textId="07AE257D" w:rsidR="0054246F" w:rsidRPr="0054246F" w:rsidRDefault="0054246F" w:rsidP="0054246F">
      <w:pPr>
        <w:pStyle w:val="BodyCopy"/>
        <w:numPr>
          <w:ilvl w:val="0"/>
          <w:numId w:val="7"/>
        </w:numPr>
        <w:spacing w:after="240"/>
        <w:contextualSpacing/>
        <w:rPr>
          <w:rFonts w:ascii="Arial" w:hAnsi="Arial" w:cs="Arial"/>
          <w:sz w:val="20"/>
          <w:szCs w:val="20"/>
          <w:lang w:val="es-US"/>
        </w:rPr>
      </w:pPr>
      <w:r w:rsidRPr="0054246F">
        <w:rPr>
          <w:rFonts w:ascii="Arial" w:hAnsi="Arial" w:cs="Arial"/>
          <w:sz w:val="20"/>
          <w:szCs w:val="20"/>
          <w:lang w:val="es-US"/>
        </w:rPr>
        <w:t>Disponga de los pañuelos de papel usados en la basura.</w:t>
      </w:r>
    </w:p>
    <w:p w14:paraId="214ED206" w14:textId="2FAFD5E9" w:rsidR="0054246F" w:rsidRPr="0054246F" w:rsidRDefault="0054246F" w:rsidP="0054246F">
      <w:pPr>
        <w:pStyle w:val="BodyCopy"/>
        <w:numPr>
          <w:ilvl w:val="0"/>
          <w:numId w:val="7"/>
        </w:numPr>
        <w:spacing w:after="240"/>
        <w:rPr>
          <w:rFonts w:ascii="Arial" w:hAnsi="Arial" w:cs="Arial"/>
          <w:sz w:val="20"/>
          <w:szCs w:val="20"/>
          <w:lang w:val="es-US"/>
        </w:rPr>
      </w:pPr>
      <w:r w:rsidRPr="0054246F">
        <w:rPr>
          <w:rFonts w:ascii="Arial" w:hAnsi="Arial" w:cs="Arial"/>
          <w:sz w:val="20"/>
          <w:szCs w:val="20"/>
          <w:lang w:val="es-US"/>
        </w:rPr>
        <w:t>Generalmente, no se excluyen los niños con la quinta enfermedad de la escuela o la guardería porque ya no son contagiosos una vez que aparece el sarpullido.</w:t>
      </w:r>
    </w:p>
    <w:p w14:paraId="7B828123" w14:textId="33B5715B" w:rsidR="0054246F" w:rsidRPr="0054246F" w:rsidRDefault="0054246F" w:rsidP="0054246F">
      <w:pPr>
        <w:pStyle w:val="BodyCopy"/>
        <w:spacing w:before="360" w:after="120"/>
        <w:rPr>
          <w:rFonts w:ascii="Arial" w:hAnsi="Arial" w:cs="Arial"/>
          <w:b/>
          <w:sz w:val="22"/>
          <w:szCs w:val="22"/>
          <w:lang w:val="es-US"/>
        </w:rPr>
      </w:pPr>
      <w:r w:rsidRPr="0054246F">
        <w:rPr>
          <w:rFonts w:ascii="Arial" w:hAnsi="Arial" w:cs="Arial"/>
          <w:b/>
          <w:sz w:val="22"/>
          <w:szCs w:val="22"/>
          <w:lang w:val="es-US"/>
        </w:rPr>
        <w:t>¿Cómo puedo obtener más información?</w:t>
      </w:r>
    </w:p>
    <w:p w14:paraId="5E1039B9" w14:textId="385F1C83" w:rsidR="00663AC0" w:rsidRPr="0054246F" w:rsidRDefault="0054246F" w:rsidP="0054246F">
      <w:pPr>
        <w:pStyle w:val="BodyCopy"/>
        <w:spacing w:after="240"/>
        <w:rPr>
          <w:rFonts w:ascii="Arial" w:hAnsi="Arial" w:cs="Arial"/>
          <w:sz w:val="20"/>
          <w:szCs w:val="20"/>
          <w:lang w:val="es-US"/>
        </w:rPr>
      </w:pPr>
      <w:r w:rsidRPr="0054246F">
        <w:rPr>
          <w:rFonts w:ascii="Arial" w:hAnsi="Arial" w:cs="Arial"/>
          <w:sz w:val="20"/>
          <w:szCs w:val="20"/>
          <w:lang w:val="es-US"/>
        </w:rPr>
        <w:t>Para más información sobre la quinta enfermedad, puede comunicarse con su médico</w:t>
      </w:r>
      <w:r>
        <w:rPr>
          <w:rFonts w:ascii="Arial" w:hAnsi="Arial" w:cs="Arial"/>
          <w:sz w:val="20"/>
          <w:szCs w:val="20"/>
          <w:lang w:val="es-US"/>
        </w:rPr>
        <w:t>.</w:t>
      </w:r>
    </w:p>
    <w:sectPr w:rsidR="00663AC0" w:rsidRPr="0054246F"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DE6E" w14:textId="77777777" w:rsidR="002A1D89" w:rsidRDefault="002A1D89" w:rsidP="008E55A1">
      <w:pPr>
        <w:spacing w:after="0" w:line="240" w:lineRule="auto"/>
      </w:pPr>
      <w:r>
        <w:separator/>
      </w:r>
    </w:p>
  </w:endnote>
  <w:endnote w:type="continuationSeparator" w:id="0">
    <w:p w14:paraId="4D960B0C" w14:textId="77777777" w:rsidR="002A1D89" w:rsidRDefault="002A1D89"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956A" w14:textId="77777777" w:rsidR="002A1D89" w:rsidRDefault="002A1D89" w:rsidP="008E55A1">
      <w:pPr>
        <w:spacing w:after="0" w:line="240" w:lineRule="auto"/>
      </w:pPr>
      <w:r>
        <w:separator/>
      </w:r>
    </w:p>
  </w:footnote>
  <w:footnote w:type="continuationSeparator" w:id="0">
    <w:p w14:paraId="08DE560D" w14:textId="77777777" w:rsidR="002A1D89" w:rsidRDefault="002A1D89"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62E"/>
    <w:multiLevelType w:val="hybridMultilevel"/>
    <w:tmpl w:val="693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335C1"/>
    <w:multiLevelType w:val="hybridMultilevel"/>
    <w:tmpl w:val="F0F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5"/>
  </w:num>
  <w:num w:numId="2" w16cid:durableId="1072587163">
    <w:abstractNumId w:val="3"/>
  </w:num>
  <w:num w:numId="3" w16cid:durableId="1629358581">
    <w:abstractNumId w:val="2"/>
  </w:num>
  <w:num w:numId="4" w16cid:durableId="658078002">
    <w:abstractNumId w:val="1"/>
  </w:num>
  <w:num w:numId="5" w16cid:durableId="153300342">
    <w:abstractNumId w:val="4"/>
  </w:num>
  <w:num w:numId="6" w16cid:durableId="872495270">
    <w:abstractNumId w:val="0"/>
  </w:num>
  <w:num w:numId="7" w16cid:durableId="2008172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233FC1"/>
    <w:rsid w:val="00270616"/>
    <w:rsid w:val="002A1D89"/>
    <w:rsid w:val="00407623"/>
    <w:rsid w:val="004B4FD5"/>
    <w:rsid w:val="0054246F"/>
    <w:rsid w:val="00545C02"/>
    <w:rsid w:val="00551B12"/>
    <w:rsid w:val="005A7887"/>
    <w:rsid w:val="006307D1"/>
    <w:rsid w:val="00663AC0"/>
    <w:rsid w:val="006A7BC7"/>
    <w:rsid w:val="006B5062"/>
    <w:rsid w:val="00796E92"/>
    <w:rsid w:val="0080060C"/>
    <w:rsid w:val="008E55A1"/>
    <w:rsid w:val="008E5DA8"/>
    <w:rsid w:val="008F2772"/>
    <w:rsid w:val="00977597"/>
    <w:rsid w:val="00B77423"/>
    <w:rsid w:val="00BC5E3E"/>
    <w:rsid w:val="00BE236F"/>
    <w:rsid w:val="00C02644"/>
    <w:rsid w:val="00CF2B88"/>
    <w:rsid w:val="00D64127"/>
    <w:rsid w:val="00DE3B8A"/>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54246F"/>
    <w:pPr>
      <w:suppressAutoHyphens/>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2024-02-16T17:17:00Z</dcterms:created>
  <dcterms:modified xsi:type="dcterms:W3CDTF">2024-02-16T17:17:00Z</dcterms:modified>
</cp:coreProperties>
</file>