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848D" w14:textId="4C236F69" w:rsidR="003E652D" w:rsidRPr="003E652D" w:rsidRDefault="003E652D" w:rsidP="003E652D">
      <w:pPr>
        <w:spacing w:line="240" w:lineRule="auto"/>
        <w:rPr>
          <w:rFonts w:cs="Arial"/>
          <w:sz w:val="20"/>
          <w:szCs w:val="20"/>
        </w:rPr>
      </w:pPr>
      <w:r w:rsidRPr="003E652D">
        <w:rPr>
          <w:rFonts w:cs="Arial"/>
          <w:sz w:val="20"/>
          <w:szCs w:val="20"/>
        </w:rPr>
        <w:t>Date</w:t>
      </w:r>
    </w:p>
    <w:p w14:paraId="19CC86FB" w14:textId="77777777" w:rsidR="003E652D" w:rsidRPr="003E652D" w:rsidRDefault="003E652D" w:rsidP="003E652D">
      <w:pPr>
        <w:spacing w:line="240" w:lineRule="auto"/>
        <w:rPr>
          <w:rFonts w:cs="Arial"/>
          <w:sz w:val="20"/>
          <w:szCs w:val="20"/>
        </w:rPr>
      </w:pPr>
      <w:r w:rsidRPr="003E652D">
        <w:rPr>
          <w:rFonts w:cs="Arial"/>
          <w:sz w:val="20"/>
          <w:szCs w:val="20"/>
        </w:rPr>
        <w:t>Dear Parent or Guardian:</w:t>
      </w:r>
    </w:p>
    <w:p w14:paraId="2E51F0C2" w14:textId="0BCDB5A8" w:rsidR="003E652D" w:rsidRPr="003E652D" w:rsidRDefault="003E652D" w:rsidP="003E652D">
      <w:pPr>
        <w:spacing w:line="240" w:lineRule="auto"/>
        <w:rPr>
          <w:rFonts w:cs="Arial"/>
          <w:sz w:val="20"/>
          <w:szCs w:val="20"/>
        </w:rPr>
      </w:pPr>
      <w:r w:rsidRPr="003E652D">
        <w:rPr>
          <w:rFonts w:cs="Arial"/>
          <w:sz w:val="20"/>
          <w:szCs w:val="20"/>
        </w:rPr>
        <w:t xml:space="preserve">Your child may have recently been exposed to </w:t>
      </w:r>
      <w:r w:rsidRPr="003E652D">
        <w:rPr>
          <w:rFonts w:cs="Arial"/>
          <w:b/>
          <w:sz w:val="20"/>
          <w:szCs w:val="20"/>
        </w:rPr>
        <w:t>conjunctivitis</w:t>
      </w:r>
      <w:r w:rsidRPr="003E652D">
        <w:rPr>
          <w:rFonts w:cs="Arial"/>
          <w:sz w:val="20"/>
          <w:szCs w:val="20"/>
        </w:rPr>
        <w:t xml:space="preserve">, commonly called </w:t>
      </w:r>
      <w:r w:rsidRPr="003E652D">
        <w:rPr>
          <w:rFonts w:cs="Arial"/>
          <w:b/>
          <w:sz w:val="20"/>
          <w:szCs w:val="20"/>
        </w:rPr>
        <w:t>pinkeye</w:t>
      </w:r>
      <w:r w:rsidRPr="003E652D">
        <w:rPr>
          <w:rFonts w:cs="Arial"/>
          <w:sz w:val="20"/>
          <w:szCs w:val="20"/>
        </w:rPr>
        <w:t xml:space="preserve">. Pinkeye is common among children and is usually caused by a virus or </w:t>
      </w:r>
      <w:r w:rsidRPr="003E652D">
        <w:rPr>
          <w:rFonts w:cs="Arial"/>
          <w:sz w:val="20"/>
          <w:szCs w:val="20"/>
        </w:rPr>
        <w:t>bacteria but</w:t>
      </w:r>
      <w:r w:rsidRPr="003E652D">
        <w:rPr>
          <w:rFonts w:cs="Arial"/>
          <w:sz w:val="20"/>
          <w:szCs w:val="20"/>
        </w:rPr>
        <w:t xml:space="preserve"> may be caused by allergies or some other eye irritant. Pinkeye is an inflammation of the thin tissue covering the white part of the eye and the inside of the eyelids.</w:t>
      </w:r>
    </w:p>
    <w:p w14:paraId="1D3D73FB" w14:textId="77777777" w:rsidR="003E652D" w:rsidRPr="003E652D" w:rsidRDefault="003E652D" w:rsidP="003E652D">
      <w:pPr>
        <w:spacing w:before="360" w:after="120" w:line="240" w:lineRule="auto"/>
        <w:rPr>
          <w:rFonts w:cs="Arial"/>
          <w:b/>
          <w:bCs/>
        </w:rPr>
      </w:pPr>
      <w:r w:rsidRPr="003E652D">
        <w:rPr>
          <w:rFonts w:cs="Arial"/>
          <w:b/>
          <w:bCs/>
        </w:rPr>
        <w:t>What are the symptoms of pinkeye?</w:t>
      </w:r>
    </w:p>
    <w:p w14:paraId="5997316F" w14:textId="77777777" w:rsidR="003E652D" w:rsidRPr="003E652D" w:rsidRDefault="003E652D" w:rsidP="003E652D">
      <w:pPr>
        <w:spacing w:line="240" w:lineRule="auto"/>
        <w:rPr>
          <w:rFonts w:cs="Arial"/>
          <w:sz w:val="20"/>
          <w:szCs w:val="20"/>
        </w:rPr>
      </w:pPr>
      <w:r w:rsidRPr="003E652D">
        <w:rPr>
          <w:rFonts w:cs="Arial"/>
          <w:sz w:val="20"/>
          <w:szCs w:val="20"/>
        </w:rPr>
        <w:t>Symptoms may include redness, itching and burning of the eyes, watering or discharge from the eyes, eyelids that stick together and swollen eyelids. It may affect one or both eyes.</w:t>
      </w:r>
    </w:p>
    <w:p w14:paraId="5CA32FF4" w14:textId="77777777" w:rsidR="003E652D" w:rsidRPr="003E652D" w:rsidRDefault="003E652D" w:rsidP="003E652D">
      <w:pPr>
        <w:spacing w:before="360" w:after="120" w:line="240" w:lineRule="auto"/>
        <w:rPr>
          <w:rFonts w:cs="Arial"/>
          <w:b/>
          <w:bCs/>
        </w:rPr>
      </w:pPr>
      <w:r w:rsidRPr="003E652D">
        <w:rPr>
          <w:rFonts w:cs="Arial"/>
          <w:b/>
          <w:bCs/>
        </w:rPr>
        <w:t>How is pinkeye spread?</w:t>
      </w:r>
    </w:p>
    <w:p w14:paraId="7B737FA6" w14:textId="6DBEB583" w:rsidR="003E652D" w:rsidRPr="003E652D" w:rsidRDefault="003E652D" w:rsidP="003E652D">
      <w:pPr>
        <w:spacing w:line="240" w:lineRule="auto"/>
        <w:rPr>
          <w:rFonts w:cs="Arial"/>
          <w:sz w:val="20"/>
          <w:szCs w:val="20"/>
        </w:rPr>
      </w:pPr>
      <w:r w:rsidRPr="003E652D">
        <w:rPr>
          <w:rFonts w:cs="Arial"/>
          <w:sz w:val="20"/>
          <w:szCs w:val="20"/>
        </w:rPr>
        <w:t>Pinkeye caused by a virus or bacteria can spread when hands touch the uni</w:t>
      </w:r>
      <w:r>
        <w:rPr>
          <w:rFonts w:cs="Arial"/>
          <w:sz w:val="20"/>
          <w:szCs w:val="20"/>
        </w:rPr>
        <w:t>n</w:t>
      </w:r>
      <w:r w:rsidRPr="003E652D">
        <w:rPr>
          <w:rFonts w:cs="Arial"/>
          <w:sz w:val="20"/>
          <w:szCs w:val="20"/>
        </w:rPr>
        <w:t>fected eye after touching the infected eye. Touching surfaces contaminated by the eye discharge then touching the eyes can also cause infection. Touching one’s eye with unwashed hands is a common way for viruses and bacteria to enter the eye.</w:t>
      </w:r>
    </w:p>
    <w:p w14:paraId="0AE4E05B" w14:textId="77777777" w:rsidR="003E652D" w:rsidRPr="003E652D" w:rsidRDefault="003E652D" w:rsidP="003E652D">
      <w:pPr>
        <w:spacing w:before="360" w:after="120" w:line="240" w:lineRule="auto"/>
        <w:rPr>
          <w:rFonts w:cs="Arial"/>
          <w:b/>
          <w:bCs/>
        </w:rPr>
      </w:pPr>
      <w:r w:rsidRPr="003E652D">
        <w:rPr>
          <w:rFonts w:cs="Arial"/>
          <w:b/>
          <w:bCs/>
        </w:rPr>
        <w:t>How is pinkeye diagnosed and treated?</w:t>
      </w:r>
    </w:p>
    <w:p w14:paraId="097FBCC2" w14:textId="77777777" w:rsidR="003E652D" w:rsidRPr="003E652D" w:rsidRDefault="003E652D" w:rsidP="003E652D">
      <w:pPr>
        <w:pStyle w:val="Footer"/>
        <w:spacing w:after="240"/>
        <w:rPr>
          <w:rFonts w:cs="Arial"/>
          <w:sz w:val="20"/>
          <w:szCs w:val="20"/>
        </w:rPr>
      </w:pPr>
      <w:r w:rsidRPr="003E652D">
        <w:rPr>
          <w:rFonts w:cs="Arial"/>
          <w:sz w:val="20"/>
          <w:szCs w:val="20"/>
        </w:rPr>
        <w:t>A healthcare provider will diagnosis of pinkeye by assessing the infected eye(s). Bacterial conjunctivitis (e.g., redness and white or yellow discharge) is treated with antibiotic eye drops. Viral conjunctivitis (e.g., clear, watery eye discharge without eye pain or redness) is not treated with antibiotics but with cool, wet compresses.</w:t>
      </w:r>
    </w:p>
    <w:p w14:paraId="32E9585E" w14:textId="77777777" w:rsidR="003E652D" w:rsidRPr="003E652D" w:rsidRDefault="003E652D" w:rsidP="003E652D">
      <w:pPr>
        <w:spacing w:before="360" w:after="120" w:line="240" w:lineRule="auto"/>
        <w:rPr>
          <w:rFonts w:cs="Arial"/>
          <w:b/>
          <w:bCs/>
        </w:rPr>
      </w:pPr>
      <w:r w:rsidRPr="003E652D">
        <w:rPr>
          <w:rFonts w:cs="Arial"/>
          <w:b/>
          <w:bCs/>
        </w:rPr>
        <w:t>How do you control the spread?</w:t>
      </w:r>
    </w:p>
    <w:p w14:paraId="3CEFD51B" w14:textId="76263024" w:rsidR="003E652D" w:rsidRPr="003E652D" w:rsidRDefault="003E652D" w:rsidP="003E652D">
      <w:pPr>
        <w:numPr>
          <w:ilvl w:val="0"/>
          <w:numId w:val="14"/>
        </w:numPr>
        <w:spacing w:line="240" w:lineRule="auto"/>
        <w:contextualSpacing/>
        <w:rPr>
          <w:rFonts w:cs="Arial"/>
          <w:sz w:val="20"/>
          <w:szCs w:val="20"/>
        </w:rPr>
      </w:pPr>
      <w:r w:rsidRPr="003E652D">
        <w:rPr>
          <w:rFonts w:cs="Arial"/>
          <w:sz w:val="20"/>
          <w:szCs w:val="20"/>
        </w:rPr>
        <w:t>Careful and thorough handwashing before and after touching the eyes, nose, and mouth.</w:t>
      </w:r>
    </w:p>
    <w:p w14:paraId="57CF472C" w14:textId="77777777" w:rsidR="003E652D" w:rsidRPr="003E652D" w:rsidRDefault="003E652D" w:rsidP="003E652D">
      <w:pPr>
        <w:numPr>
          <w:ilvl w:val="0"/>
          <w:numId w:val="14"/>
        </w:numPr>
        <w:spacing w:line="240" w:lineRule="auto"/>
        <w:contextualSpacing/>
        <w:rPr>
          <w:rFonts w:cs="Arial"/>
          <w:sz w:val="20"/>
          <w:szCs w:val="20"/>
        </w:rPr>
      </w:pPr>
      <w:r w:rsidRPr="003E652D">
        <w:rPr>
          <w:rFonts w:cs="Arial"/>
          <w:sz w:val="20"/>
          <w:szCs w:val="20"/>
        </w:rPr>
        <w:t>Disinfect objects that are commonly touched by hands or faces such as table, doorknobs, telephones, and toys.</w:t>
      </w:r>
    </w:p>
    <w:p w14:paraId="45EA3F12" w14:textId="77777777" w:rsidR="003E652D" w:rsidRPr="003E652D" w:rsidRDefault="003E652D" w:rsidP="003E652D">
      <w:pPr>
        <w:numPr>
          <w:ilvl w:val="0"/>
          <w:numId w:val="14"/>
        </w:numPr>
        <w:spacing w:line="240" w:lineRule="auto"/>
        <w:rPr>
          <w:rFonts w:cs="Arial"/>
          <w:sz w:val="20"/>
          <w:szCs w:val="20"/>
        </w:rPr>
      </w:pPr>
      <w:r w:rsidRPr="003E652D">
        <w:rPr>
          <w:rFonts w:cs="Arial"/>
          <w:sz w:val="20"/>
          <w:szCs w:val="20"/>
        </w:rPr>
        <w:t>People with white or yellow discharge should see their healthcare provider for assessment before returning to school.</w:t>
      </w:r>
    </w:p>
    <w:p w14:paraId="16537E44" w14:textId="77777777" w:rsidR="003E652D" w:rsidRPr="003E652D" w:rsidRDefault="003E652D" w:rsidP="003E652D">
      <w:pPr>
        <w:spacing w:before="360" w:after="120" w:line="240" w:lineRule="auto"/>
        <w:rPr>
          <w:rFonts w:cs="Arial"/>
          <w:b/>
          <w:bCs/>
        </w:rPr>
      </w:pPr>
      <w:r w:rsidRPr="003E652D">
        <w:rPr>
          <w:rFonts w:cs="Arial"/>
          <w:b/>
          <w:bCs/>
        </w:rPr>
        <w:t>How do I get more information?</w:t>
      </w:r>
    </w:p>
    <w:p w14:paraId="10C54145" w14:textId="77590918" w:rsidR="008E5DA8" w:rsidRPr="003E652D" w:rsidRDefault="003E652D" w:rsidP="003E652D">
      <w:pPr>
        <w:spacing w:line="240" w:lineRule="auto"/>
        <w:rPr>
          <w:rFonts w:cs="Arial"/>
          <w:sz w:val="20"/>
          <w:szCs w:val="20"/>
        </w:rPr>
      </w:pPr>
      <w:r w:rsidRPr="003E652D">
        <w:rPr>
          <w:rFonts w:cs="Arial"/>
          <w:sz w:val="20"/>
          <w:szCs w:val="20"/>
        </w:rPr>
        <w:t>For more information about pinkeye, contact your healthcare provider</w:t>
      </w:r>
      <w:r>
        <w:rPr>
          <w:rFonts w:cs="Arial"/>
          <w:sz w:val="20"/>
          <w:szCs w:val="20"/>
        </w:rPr>
        <w:t>.</w:t>
      </w:r>
    </w:p>
    <w:sectPr w:rsidR="008E5DA8" w:rsidRPr="003E652D"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0A81" w14:textId="77777777" w:rsidR="00294471" w:rsidRDefault="00294471" w:rsidP="008E55A1">
      <w:pPr>
        <w:spacing w:after="0" w:line="240" w:lineRule="auto"/>
      </w:pPr>
      <w:r>
        <w:separator/>
      </w:r>
    </w:p>
  </w:endnote>
  <w:endnote w:type="continuationSeparator" w:id="0">
    <w:p w14:paraId="01CD7411" w14:textId="77777777" w:rsidR="00294471" w:rsidRDefault="00294471"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E1D3" w14:textId="77777777" w:rsidR="00294471" w:rsidRDefault="00294471" w:rsidP="008E55A1">
      <w:pPr>
        <w:spacing w:after="0" w:line="240" w:lineRule="auto"/>
      </w:pPr>
      <w:r>
        <w:separator/>
      </w:r>
    </w:p>
  </w:footnote>
  <w:footnote w:type="continuationSeparator" w:id="0">
    <w:p w14:paraId="2A7AD240" w14:textId="77777777" w:rsidR="00294471" w:rsidRDefault="00294471"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83"/>
    <w:multiLevelType w:val="hybridMultilevel"/>
    <w:tmpl w:val="AC5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310"/>
    <w:multiLevelType w:val="hybridMultilevel"/>
    <w:tmpl w:val="360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0FA"/>
    <w:multiLevelType w:val="hybridMultilevel"/>
    <w:tmpl w:val="8D3A89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1C2BD3"/>
    <w:multiLevelType w:val="hybridMultilevel"/>
    <w:tmpl w:val="FAF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20C9"/>
    <w:multiLevelType w:val="hybridMultilevel"/>
    <w:tmpl w:val="E57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4FD0"/>
    <w:multiLevelType w:val="hybridMultilevel"/>
    <w:tmpl w:val="248C5C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40C74668"/>
    <w:multiLevelType w:val="hybridMultilevel"/>
    <w:tmpl w:val="68D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578D2"/>
    <w:multiLevelType w:val="hybridMultilevel"/>
    <w:tmpl w:val="D04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51C0E"/>
    <w:multiLevelType w:val="hybridMultilevel"/>
    <w:tmpl w:val="F51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11"/>
  </w:num>
  <w:num w:numId="2" w16cid:durableId="1072587163">
    <w:abstractNumId w:val="7"/>
  </w:num>
  <w:num w:numId="3" w16cid:durableId="1629358581">
    <w:abstractNumId w:val="6"/>
  </w:num>
  <w:num w:numId="4" w16cid:durableId="658078002">
    <w:abstractNumId w:val="5"/>
  </w:num>
  <w:num w:numId="5" w16cid:durableId="153300342">
    <w:abstractNumId w:val="10"/>
  </w:num>
  <w:num w:numId="6" w16cid:durableId="851721558">
    <w:abstractNumId w:val="3"/>
  </w:num>
  <w:num w:numId="7" w16cid:durableId="581985238">
    <w:abstractNumId w:val="1"/>
  </w:num>
  <w:num w:numId="8" w16cid:durableId="2033451606">
    <w:abstractNumId w:val="0"/>
  </w:num>
  <w:num w:numId="9" w16cid:durableId="1319378508">
    <w:abstractNumId w:val="4"/>
  </w:num>
  <w:num w:numId="10" w16cid:durableId="841969507">
    <w:abstractNumId w:val="13"/>
  </w:num>
  <w:num w:numId="11" w16cid:durableId="1660187950">
    <w:abstractNumId w:val="8"/>
  </w:num>
  <w:num w:numId="12" w16cid:durableId="1748723465">
    <w:abstractNumId w:val="2"/>
  </w:num>
  <w:num w:numId="13" w16cid:durableId="2122186888">
    <w:abstractNumId w:val="9"/>
  </w:num>
  <w:num w:numId="14" w16cid:durableId="5723560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1C34F8"/>
    <w:rsid w:val="00233FC1"/>
    <w:rsid w:val="00270616"/>
    <w:rsid w:val="00294471"/>
    <w:rsid w:val="00371A91"/>
    <w:rsid w:val="003845DF"/>
    <w:rsid w:val="003E652D"/>
    <w:rsid w:val="00407623"/>
    <w:rsid w:val="00451B45"/>
    <w:rsid w:val="004B4FD5"/>
    <w:rsid w:val="00531421"/>
    <w:rsid w:val="00545C02"/>
    <w:rsid w:val="00551B12"/>
    <w:rsid w:val="005673B9"/>
    <w:rsid w:val="005A7887"/>
    <w:rsid w:val="006307D1"/>
    <w:rsid w:val="006A7BC7"/>
    <w:rsid w:val="006B5062"/>
    <w:rsid w:val="00796E92"/>
    <w:rsid w:val="007D7EB9"/>
    <w:rsid w:val="0080060C"/>
    <w:rsid w:val="008E55A1"/>
    <w:rsid w:val="008E5DA8"/>
    <w:rsid w:val="008F2772"/>
    <w:rsid w:val="00977597"/>
    <w:rsid w:val="00B77423"/>
    <w:rsid w:val="00BC5E3E"/>
    <w:rsid w:val="00BE236F"/>
    <w:rsid w:val="00C02644"/>
    <w:rsid w:val="00C202D2"/>
    <w:rsid w:val="00CF2B88"/>
    <w:rsid w:val="00D64127"/>
    <w:rsid w:val="00DE3B8A"/>
    <w:rsid w:val="00ED3B9B"/>
    <w:rsid w:val="00EF1E01"/>
    <w:rsid w:val="00F553FB"/>
    <w:rsid w:val="00F926E7"/>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3845DF"/>
    <w:pPr>
      <w:suppressAutoHyphens/>
      <w:spacing w:after="0" w:line="240" w:lineRule="auto"/>
    </w:pPr>
    <w:rPr>
      <w:rFonts w:ascii="Calibri" w:hAnsi="Calibri"/>
      <w:sz w:val="24"/>
      <w:szCs w:val="24"/>
    </w:rPr>
  </w:style>
  <w:style w:type="character" w:styleId="Hyperlink">
    <w:name w:val="Hyperlink"/>
    <w:basedOn w:val="DefaultParagraphFont"/>
    <w:uiPriority w:val="99"/>
    <w:unhideWhenUsed/>
    <w:rsid w:val="00371A91"/>
    <w:rPr>
      <w:color w:val="0563C1" w:themeColor="hyperlink"/>
      <w:u w:val="single"/>
    </w:rPr>
  </w:style>
  <w:style w:type="paragraph" w:customStyle="1" w:styleId="Headline">
    <w:name w:val="Headline"/>
    <w:basedOn w:val="Normal"/>
    <w:qFormat/>
    <w:rsid w:val="00371A91"/>
    <w:pPr>
      <w:spacing w:before="240" w:line="240" w:lineRule="auto"/>
    </w:pPr>
    <w:rPr>
      <w:rFonts w:ascii="Calibri" w:hAnsi="Calibr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2024-02-16T18:04:00Z</dcterms:created>
  <dcterms:modified xsi:type="dcterms:W3CDTF">2024-02-16T18:04:00Z</dcterms:modified>
</cp:coreProperties>
</file>